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481" w:rsidRPr="00606481" w:rsidRDefault="0090398C" w:rsidP="00606481">
      <w:pPr>
        <w:pStyle w:val="Default"/>
        <w:jc w:val="center"/>
        <w:rPr>
          <w:sz w:val="36"/>
          <w:szCs w:val="36"/>
        </w:rPr>
      </w:pPr>
      <w:r>
        <w:rPr>
          <w:sz w:val="36"/>
          <w:szCs w:val="36"/>
        </w:rPr>
        <w:t xml:space="preserve">SINTESI </w:t>
      </w:r>
      <w:r w:rsidR="00606481" w:rsidRPr="00606481">
        <w:rPr>
          <w:sz w:val="36"/>
          <w:szCs w:val="36"/>
        </w:rPr>
        <w:t>BANDO VOUCHER DIGITALI I4.0</w:t>
      </w:r>
    </w:p>
    <w:p w:rsidR="00B6117C" w:rsidRDefault="00606481" w:rsidP="00606481">
      <w:pPr>
        <w:pStyle w:val="Default"/>
        <w:jc w:val="center"/>
        <w:rPr>
          <w:sz w:val="36"/>
          <w:szCs w:val="36"/>
        </w:rPr>
      </w:pPr>
      <w:r w:rsidRPr="00606481">
        <w:rPr>
          <w:sz w:val="36"/>
          <w:szCs w:val="36"/>
        </w:rPr>
        <w:t>Anno 2019</w:t>
      </w:r>
    </w:p>
    <w:p w:rsidR="00606481" w:rsidRDefault="00606481" w:rsidP="00606481">
      <w:pPr>
        <w:pStyle w:val="Default"/>
      </w:pPr>
    </w:p>
    <w:p w:rsidR="00606481" w:rsidRPr="005532BC" w:rsidRDefault="0090398C" w:rsidP="00606481">
      <w:pPr>
        <w:pStyle w:val="Default"/>
        <w:rPr>
          <w:b/>
        </w:rPr>
      </w:pPr>
      <w:r w:rsidRPr="005532BC">
        <w:rPr>
          <w:b/>
        </w:rPr>
        <w:t>INTRODUZIONE</w:t>
      </w:r>
    </w:p>
    <w:p w:rsidR="00606481" w:rsidRDefault="00606481" w:rsidP="00606481">
      <w:pPr>
        <w:pStyle w:val="Default"/>
        <w:rPr>
          <w:sz w:val="22"/>
          <w:szCs w:val="22"/>
        </w:rPr>
      </w:pPr>
      <w:r>
        <w:rPr>
          <w:sz w:val="22"/>
          <w:szCs w:val="22"/>
        </w:rPr>
        <w:t xml:space="preserve">Con l’iniziativa “Bando voucher digitali I4.0 - Anno 2019” sono proposte due Misure - </w:t>
      </w:r>
      <w:r>
        <w:rPr>
          <w:b/>
          <w:bCs/>
          <w:sz w:val="22"/>
          <w:szCs w:val="22"/>
        </w:rPr>
        <w:t xml:space="preserve">Misura A </w:t>
      </w:r>
      <w:r>
        <w:rPr>
          <w:sz w:val="22"/>
          <w:szCs w:val="22"/>
        </w:rPr>
        <w:t xml:space="preserve">e </w:t>
      </w:r>
      <w:r>
        <w:rPr>
          <w:b/>
          <w:bCs/>
          <w:sz w:val="22"/>
          <w:szCs w:val="22"/>
        </w:rPr>
        <w:t xml:space="preserve">Misura B </w:t>
      </w:r>
      <w:r>
        <w:rPr>
          <w:sz w:val="22"/>
          <w:szCs w:val="22"/>
        </w:rPr>
        <w:t xml:space="preserve">- che rispondono ad obiettivi tra loro complementari. </w:t>
      </w:r>
    </w:p>
    <w:p w:rsidR="00606481" w:rsidRDefault="00606481" w:rsidP="00606481">
      <w:pPr>
        <w:pStyle w:val="Default"/>
        <w:rPr>
          <w:sz w:val="22"/>
          <w:szCs w:val="22"/>
        </w:rPr>
      </w:pPr>
      <w:r>
        <w:rPr>
          <w:sz w:val="22"/>
          <w:szCs w:val="22"/>
        </w:rPr>
        <w:t>Si intendono finanziare, tramite l’utilizzo di contributi a fondo perduto (</w:t>
      </w:r>
      <w:r>
        <w:rPr>
          <w:i/>
          <w:iCs/>
          <w:sz w:val="22"/>
          <w:szCs w:val="22"/>
        </w:rPr>
        <w:t>voucher</w:t>
      </w:r>
      <w:r>
        <w:rPr>
          <w:sz w:val="22"/>
          <w:szCs w:val="22"/>
        </w:rPr>
        <w:t xml:space="preserve">): </w:t>
      </w:r>
    </w:p>
    <w:p w:rsidR="00606481" w:rsidRDefault="00606481" w:rsidP="00606481">
      <w:pPr>
        <w:pStyle w:val="Default"/>
        <w:jc w:val="both"/>
      </w:pPr>
    </w:p>
    <w:p w:rsidR="00527E14" w:rsidRDefault="00527E14" w:rsidP="00606481">
      <w:pPr>
        <w:pStyle w:val="Default"/>
        <w:jc w:val="both"/>
      </w:pPr>
    </w:p>
    <w:tbl>
      <w:tblPr>
        <w:tblStyle w:val="Grigliatabella"/>
        <w:tblW w:w="0" w:type="auto"/>
        <w:tblLook w:val="04A0"/>
      </w:tblPr>
      <w:tblGrid>
        <w:gridCol w:w="3108"/>
        <w:gridCol w:w="3373"/>
        <w:gridCol w:w="3373"/>
      </w:tblGrid>
      <w:tr w:rsidR="00527E14" w:rsidTr="00527E14">
        <w:tc>
          <w:tcPr>
            <w:tcW w:w="3108" w:type="dxa"/>
          </w:tcPr>
          <w:p w:rsidR="00527E14" w:rsidRPr="00527E14" w:rsidRDefault="00527E14" w:rsidP="00527E14">
            <w:pPr>
              <w:pStyle w:val="Default"/>
              <w:jc w:val="center"/>
              <w:rPr>
                <w:b/>
                <w:bCs/>
              </w:rPr>
            </w:pPr>
          </w:p>
        </w:tc>
        <w:tc>
          <w:tcPr>
            <w:tcW w:w="3373" w:type="dxa"/>
          </w:tcPr>
          <w:p w:rsidR="00527E14" w:rsidRDefault="00527E14" w:rsidP="00527E14">
            <w:pPr>
              <w:pStyle w:val="Default"/>
              <w:jc w:val="center"/>
            </w:pPr>
            <w:r w:rsidRPr="00527E14">
              <w:rPr>
                <w:b/>
                <w:bCs/>
              </w:rPr>
              <w:t>Misura A</w:t>
            </w:r>
          </w:p>
        </w:tc>
        <w:tc>
          <w:tcPr>
            <w:tcW w:w="3373" w:type="dxa"/>
          </w:tcPr>
          <w:p w:rsidR="00527E14" w:rsidRDefault="00527E14" w:rsidP="00527E14">
            <w:pPr>
              <w:pStyle w:val="Default"/>
              <w:jc w:val="center"/>
            </w:pPr>
            <w:r w:rsidRPr="00527E14">
              <w:rPr>
                <w:b/>
                <w:bCs/>
              </w:rPr>
              <w:t>Misura B</w:t>
            </w:r>
          </w:p>
        </w:tc>
      </w:tr>
      <w:tr w:rsidR="005532BC" w:rsidTr="00527E14">
        <w:tc>
          <w:tcPr>
            <w:tcW w:w="3108" w:type="dxa"/>
          </w:tcPr>
          <w:p w:rsidR="005532BC" w:rsidRDefault="005532BC" w:rsidP="00606481">
            <w:pPr>
              <w:pStyle w:val="Default"/>
              <w:jc w:val="both"/>
            </w:pPr>
            <w:r>
              <w:t>Modalità</w:t>
            </w:r>
          </w:p>
        </w:tc>
        <w:tc>
          <w:tcPr>
            <w:tcW w:w="3373" w:type="dxa"/>
          </w:tcPr>
          <w:p w:rsidR="005532BC" w:rsidRDefault="005532BC" w:rsidP="00606481">
            <w:pPr>
              <w:pStyle w:val="Default"/>
              <w:jc w:val="both"/>
            </w:pPr>
            <w:r>
              <w:t xml:space="preserve">Presentazione in forma aggregata </w:t>
            </w:r>
          </w:p>
        </w:tc>
        <w:tc>
          <w:tcPr>
            <w:tcW w:w="3373" w:type="dxa"/>
          </w:tcPr>
          <w:p w:rsidR="005532BC" w:rsidRDefault="005532BC" w:rsidP="00606481">
            <w:pPr>
              <w:pStyle w:val="Default"/>
              <w:jc w:val="both"/>
            </w:pPr>
            <w:r w:rsidRPr="005532BC">
              <w:t xml:space="preserve">Presentazione in forma </w:t>
            </w:r>
            <w:r>
              <w:t>singola</w:t>
            </w:r>
          </w:p>
        </w:tc>
      </w:tr>
      <w:tr w:rsidR="00527E14" w:rsidTr="00527E14">
        <w:tc>
          <w:tcPr>
            <w:tcW w:w="3108" w:type="dxa"/>
          </w:tcPr>
          <w:p w:rsidR="00527E14" w:rsidRDefault="005532BC" w:rsidP="00606481">
            <w:pPr>
              <w:pStyle w:val="Default"/>
              <w:jc w:val="both"/>
            </w:pPr>
            <w:r>
              <w:t xml:space="preserve">Importo </w:t>
            </w:r>
            <w:r w:rsidR="000B539C">
              <w:t xml:space="preserve">max </w:t>
            </w:r>
            <w:r>
              <w:t>voucher</w:t>
            </w:r>
          </w:p>
        </w:tc>
        <w:tc>
          <w:tcPr>
            <w:tcW w:w="3373" w:type="dxa"/>
          </w:tcPr>
          <w:p w:rsidR="00527E14" w:rsidRDefault="005532BC" w:rsidP="00606481">
            <w:pPr>
              <w:pStyle w:val="Default"/>
              <w:jc w:val="both"/>
            </w:pPr>
            <w:r>
              <w:t>10.000</w:t>
            </w:r>
          </w:p>
        </w:tc>
        <w:tc>
          <w:tcPr>
            <w:tcW w:w="3373" w:type="dxa"/>
          </w:tcPr>
          <w:p w:rsidR="00527E14" w:rsidRDefault="005532BC" w:rsidP="00606481">
            <w:pPr>
              <w:pStyle w:val="Default"/>
              <w:jc w:val="both"/>
            </w:pPr>
            <w:r>
              <w:t>10.000</w:t>
            </w:r>
          </w:p>
        </w:tc>
      </w:tr>
      <w:tr w:rsidR="00527E14" w:rsidTr="00527E14">
        <w:tc>
          <w:tcPr>
            <w:tcW w:w="3108" w:type="dxa"/>
          </w:tcPr>
          <w:p w:rsidR="00527E14" w:rsidRDefault="005532BC" w:rsidP="00606481">
            <w:pPr>
              <w:pStyle w:val="Default"/>
              <w:jc w:val="both"/>
            </w:pPr>
            <w:r>
              <w:t xml:space="preserve">Agevolazione </w:t>
            </w:r>
          </w:p>
        </w:tc>
        <w:tc>
          <w:tcPr>
            <w:tcW w:w="3373" w:type="dxa"/>
          </w:tcPr>
          <w:p w:rsidR="00527E14" w:rsidRDefault="005532BC" w:rsidP="00606481">
            <w:pPr>
              <w:pStyle w:val="Default"/>
              <w:jc w:val="both"/>
            </w:pPr>
            <w:r>
              <w:t>70% spese ammissibili</w:t>
            </w:r>
          </w:p>
        </w:tc>
        <w:tc>
          <w:tcPr>
            <w:tcW w:w="3373" w:type="dxa"/>
          </w:tcPr>
          <w:p w:rsidR="00527E14" w:rsidRDefault="005532BC" w:rsidP="00606481">
            <w:pPr>
              <w:pStyle w:val="Default"/>
              <w:jc w:val="both"/>
            </w:pPr>
            <w:r w:rsidRPr="005532BC">
              <w:t>70% spese ammissibili</w:t>
            </w:r>
          </w:p>
        </w:tc>
      </w:tr>
      <w:tr w:rsidR="00527E14" w:rsidTr="00527E14">
        <w:tc>
          <w:tcPr>
            <w:tcW w:w="3108" w:type="dxa"/>
          </w:tcPr>
          <w:p w:rsidR="00527E14" w:rsidRDefault="005532BC" w:rsidP="00606481">
            <w:pPr>
              <w:pStyle w:val="Default"/>
              <w:jc w:val="both"/>
            </w:pPr>
            <w:r>
              <w:t>Premialità Rating legalità</w:t>
            </w:r>
          </w:p>
        </w:tc>
        <w:tc>
          <w:tcPr>
            <w:tcW w:w="3373" w:type="dxa"/>
          </w:tcPr>
          <w:p w:rsidR="00527E14" w:rsidRDefault="005532BC" w:rsidP="00606481">
            <w:pPr>
              <w:pStyle w:val="Default"/>
              <w:jc w:val="both"/>
            </w:pPr>
            <w:r>
              <w:t xml:space="preserve">+250 euro </w:t>
            </w:r>
          </w:p>
        </w:tc>
        <w:tc>
          <w:tcPr>
            <w:tcW w:w="3373" w:type="dxa"/>
          </w:tcPr>
          <w:p w:rsidR="00527E14" w:rsidRDefault="005532BC" w:rsidP="00606481">
            <w:pPr>
              <w:pStyle w:val="Default"/>
              <w:jc w:val="both"/>
            </w:pPr>
            <w:r>
              <w:t>+250 euro</w:t>
            </w:r>
          </w:p>
        </w:tc>
      </w:tr>
      <w:tr w:rsidR="005532BC" w:rsidTr="00527E14">
        <w:tc>
          <w:tcPr>
            <w:tcW w:w="3108" w:type="dxa"/>
          </w:tcPr>
          <w:p w:rsidR="005532BC" w:rsidRDefault="005532BC" w:rsidP="00606481">
            <w:pPr>
              <w:pStyle w:val="Default"/>
              <w:jc w:val="both"/>
            </w:pPr>
            <w:r>
              <w:t xml:space="preserve">Beneficiari </w:t>
            </w:r>
          </w:p>
        </w:tc>
        <w:tc>
          <w:tcPr>
            <w:tcW w:w="3373" w:type="dxa"/>
          </w:tcPr>
          <w:p w:rsidR="005532BC" w:rsidRDefault="005532BC" w:rsidP="00606481">
            <w:pPr>
              <w:pStyle w:val="Default"/>
              <w:jc w:val="both"/>
            </w:pPr>
            <w:r>
              <w:t xml:space="preserve">PMI con sede legale nella circoscrizione territoriale di Caserta in regola con il pagamento del diritto annuale </w:t>
            </w:r>
          </w:p>
        </w:tc>
        <w:tc>
          <w:tcPr>
            <w:tcW w:w="3373" w:type="dxa"/>
          </w:tcPr>
          <w:p w:rsidR="005532BC" w:rsidRDefault="005532BC" w:rsidP="00606481">
            <w:pPr>
              <w:pStyle w:val="Default"/>
              <w:jc w:val="both"/>
            </w:pPr>
            <w:r w:rsidRPr="005532BC">
              <w:t>PMI con sede legale nella circoscrizione territoriale di Caserta in regola con il pagamento del diritto annuale</w:t>
            </w:r>
          </w:p>
        </w:tc>
      </w:tr>
      <w:tr w:rsidR="005051BA" w:rsidTr="00527E14">
        <w:tc>
          <w:tcPr>
            <w:tcW w:w="3108" w:type="dxa"/>
          </w:tcPr>
          <w:p w:rsidR="005051BA" w:rsidRDefault="005051BA" w:rsidP="00606481">
            <w:pPr>
              <w:pStyle w:val="Default"/>
              <w:jc w:val="both"/>
            </w:pPr>
            <w:r>
              <w:t>Scadenza</w:t>
            </w:r>
          </w:p>
        </w:tc>
        <w:tc>
          <w:tcPr>
            <w:tcW w:w="3373" w:type="dxa"/>
          </w:tcPr>
          <w:p w:rsidR="005051BA" w:rsidRDefault="005051BA" w:rsidP="005051BA">
            <w:pPr>
              <w:pStyle w:val="Default"/>
              <w:jc w:val="both"/>
            </w:pPr>
            <w:r>
              <w:t>15/07/2019</w:t>
            </w:r>
          </w:p>
        </w:tc>
        <w:tc>
          <w:tcPr>
            <w:tcW w:w="3373" w:type="dxa"/>
          </w:tcPr>
          <w:p w:rsidR="005051BA" w:rsidRPr="005532BC" w:rsidRDefault="005051BA" w:rsidP="00606481">
            <w:pPr>
              <w:pStyle w:val="Default"/>
              <w:jc w:val="both"/>
            </w:pPr>
            <w:r w:rsidRPr="005051BA">
              <w:t>15/07/2019</w:t>
            </w:r>
          </w:p>
        </w:tc>
      </w:tr>
    </w:tbl>
    <w:p w:rsidR="00527E14" w:rsidRDefault="00527E14" w:rsidP="00606481">
      <w:pPr>
        <w:pStyle w:val="Default"/>
        <w:jc w:val="both"/>
      </w:pPr>
    </w:p>
    <w:p w:rsidR="00527E14" w:rsidRDefault="00527E14" w:rsidP="00606481">
      <w:pPr>
        <w:pStyle w:val="Default"/>
        <w:jc w:val="both"/>
      </w:pPr>
    </w:p>
    <w:p w:rsidR="00606481" w:rsidRPr="005532BC" w:rsidRDefault="0090398C" w:rsidP="00606481">
      <w:pPr>
        <w:pStyle w:val="Default"/>
        <w:rPr>
          <w:b/>
        </w:rPr>
      </w:pPr>
      <w:r w:rsidRPr="00527E14">
        <w:rPr>
          <w:b/>
        </w:rPr>
        <w:t xml:space="preserve">AMBITI TECNOLOGICI </w:t>
      </w:r>
    </w:p>
    <w:p w:rsidR="00606481" w:rsidRDefault="00606481" w:rsidP="00606481">
      <w:pPr>
        <w:pStyle w:val="Default"/>
        <w:spacing w:after="46"/>
        <w:jc w:val="both"/>
        <w:rPr>
          <w:sz w:val="22"/>
          <w:szCs w:val="22"/>
        </w:rPr>
      </w:pPr>
      <w:r>
        <w:rPr>
          <w:sz w:val="22"/>
          <w:szCs w:val="22"/>
        </w:rPr>
        <w:t xml:space="preserve">Gli </w:t>
      </w:r>
      <w:r w:rsidRPr="00606481">
        <w:rPr>
          <w:b/>
          <w:sz w:val="22"/>
          <w:szCs w:val="22"/>
          <w:u w:val="single"/>
        </w:rPr>
        <w:t>ambiti tecnologici</w:t>
      </w:r>
      <w:r>
        <w:rPr>
          <w:sz w:val="22"/>
          <w:szCs w:val="22"/>
        </w:rPr>
        <w:t xml:space="preserve"> di innovazione digitale I4.0 ricompresi nel presente Bando sono: </w:t>
      </w:r>
    </w:p>
    <w:p w:rsidR="00606481" w:rsidRDefault="00606481" w:rsidP="00606481">
      <w:pPr>
        <w:pStyle w:val="Default"/>
        <w:spacing w:after="46"/>
        <w:jc w:val="both"/>
        <w:rPr>
          <w:sz w:val="22"/>
          <w:szCs w:val="22"/>
        </w:rPr>
      </w:pPr>
      <w:r>
        <w:rPr>
          <w:b/>
          <w:bCs/>
          <w:sz w:val="22"/>
          <w:szCs w:val="22"/>
        </w:rPr>
        <w:t xml:space="preserve">Elenco 1: </w:t>
      </w:r>
      <w:r>
        <w:rPr>
          <w:sz w:val="22"/>
          <w:szCs w:val="22"/>
        </w:rPr>
        <w:t xml:space="preserve">utilizzo delle tecnologie di cui agli allegati A e B della legge 11 dicembre 2016, n. 232 e s.m.i., inclusa la pianificazione o progettazione dei relativi interventi e, specificamente: </w:t>
      </w:r>
    </w:p>
    <w:p w:rsidR="00606481" w:rsidRDefault="00606481" w:rsidP="00606481">
      <w:pPr>
        <w:pStyle w:val="Default"/>
        <w:numPr>
          <w:ilvl w:val="0"/>
          <w:numId w:val="2"/>
        </w:numPr>
        <w:spacing w:after="46"/>
        <w:jc w:val="both"/>
        <w:rPr>
          <w:sz w:val="22"/>
          <w:szCs w:val="22"/>
        </w:rPr>
      </w:pPr>
      <w:r>
        <w:rPr>
          <w:sz w:val="22"/>
          <w:szCs w:val="22"/>
        </w:rPr>
        <w:t xml:space="preserve">soluzioni per la manifattura avanzata </w:t>
      </w:r>
    </w:p>
    <w:p w:rsidR="00606481" w:rsidRDefault="00606481" w:rsidP="00606481">
      <w:pPr>
        <w:pStyle w:val="Default"/>
        <w:numPr>
          <w:ilvl w:val="0"/>
          <w:numId w:val="2"/>
        </w:numPr>
        <w:spacing w:after="46"/>
        <w:jc w:val="both"/>
        <w:rPr>
          <w:sz w:val="22"/>
          <w:szCs w:val="22"/>
        </w:rPr>
      </w:pPr>
      <w:r>
        <w:rPr>
          <w:sz w:val="22"/>
          <w:szCs w:val="22"/>
        </w:rPr>
        <w:t xml:space="preserve">manifattura additiva </w:t>
      </w:r>
    </w:p>
    <w:p w:rsidR="00606481" w:rsidRDefault="00606481" w:rsidP="00606481">
      <w:pPr>
        <w:pStyle w:val="Default"/>
        <w:numPr>
          <w:ilvl w:val="0"/>
          <w:numId w:val="2"/>
        </w:numPr>
        <w:spacing w:after="46"/>
        <w:jc w:val="both"/>
        <w:rPr>
          <w:sz w:val="22"/>
          <w:szCs w:val="22"/>
        </w:rPr>
      </w:pPr>
      <w:r>
        <w:rPr>
          <w:sz w:val="22"/>
          <w:szCs w:val="22"/>
        </w:rPr>
        <w:t xml:space="preserve">soluzioni tecnologiche per la navigazione immersiva, interattiva e partecipativa dell’ambiente reale e nell’ambiente reale (realtà aumentata, realtà virtuale e ricostruzioni 3D) </w:t>
      </w:r>
    </w:p>
    <w:p w:rsidR="00606481" w:rsidRDefault="00606481" w:rsidP="00606481">
      <w:pPr>
        <w:pStyle w:val="Default"/>
        <w:numPr>
          <w:ilvl w:val="0"/>
          <w:numId w:val="2"/>
        </w:numPr>
        <w:spacing w:after="46"/>
        <w:jc w:val="both"/>
        <w:rPr>
          <w:sz w:val="22"/>
          <w:szCs w:val="22"/>
        </w:rPr>
      </w:pPr>
      <w:r>
        <w:rPr>
          <w:sz w:val="22"/>
          <w:szCs w:val="22"/>
        </w:rPr>
        <w:t xml:space="preserve">simulazione </w:t>
      </w:r>
    </w:p>
    <w:p w:rsidR="00606481" w:rsidRDefault="00606481" w:rsidP="00606481">
      <w:pPr>
        <w:pStyle w:val="Default"/>
        <w:numPr>
          <w:ilvl w:val="0"/>
          <w:numId w:val="2"/>
        </w:numPr>
        <w:spacing w:after="46"/>
        <w:jc w:val="both"/>
        <w:rPr>
          <w:sz w:val="22"/>
          <w:szCs w:val="22"/>
        </w:rPr>
      </w:pPr>
      <w:r>
        <w:rPr>
          <w:sz w:val="22"/>
          <w:szCs w:val="22"/>
        </w:rPr>
        <w:t xml:space="preserve">integrazione verticale e orizzontale </w:t>
      </w:r>
    </w:p>
    <w:p w:rsidR="00606481" w:rsidRDefault="00606481" w:rsidP="00606481">
      <w:pPr>
        <w:pStyle w:val="Default"/>
        <w:numPr>
          <w:ilvl w:val="0"/>
          <w:numId w:val="2"/>
        </w:numPr>
        <w:spacing w:after="46"/>
        <w:jc w:val="both"/>
        <w:rPr>
          <w:sz w:val="22"/>
          <w:szCs w:val="22"/>
        </w:rPr>
      </w:pPr>
      <w:r>
        <w:rPr>
          <w:sz w:val="22"/>
          <w:szCs w:val="22"/>
        </w:rPr>
        <w:t xml:space="preserve">Industrial Internet e IoT </w:t>
      </w:r>
    </w:p>
    <w:p w:rsidR="00606481" w:rsidRDefault="00606481" w:rsidP="00606481">
      <w:pPr>
        <w:pStyle w:val="Default"/>
        <w:numPr>
          <w:ilvl w:val="0"/>
          <w:numId w:val="2"/>
        </w:numPr>
        <w:spacing w:after="46"/>
        <w:jc w:val="both"/>
        <w:rPr>
          <w:sz w:val="22"/>
          <w:szCs w:val="22"/>
        </w:rPr>
      </w:pPr>
      <w:r>
        <w:rPr>
          <w:sz w:val="22"/>
          <w:szCs w:val="22"/>
        </w:rPr>
        <w:t xml:space="preserve">cloud </w:t>
      </w:r>
    </w:p>
    <w:p w:rsidR="00606481" w:rsidRDefault="00606481" w:rsidP="00606481">
      <w:pPr>
        <w:pStyle w:val="Default"/>
        <w:numPr>
          <w:ilvl w:val="0"/>
          <w:numId w:val="2"/>
        </w:numPr>
        <w:spacing w:after="46"/>
        <w:jc w:val="both"/>
        <w:rPr>
          <w:sz w:val="22"/>
          <w:szCs w:val="22"/>
        </w:rPr>
      </w:pPr>
      <w:r>
        <w:rPr>
          <w:sz w:val="22"/>
          <w:szCs w:val="22"/>
        </w:rPr>
        <w:t xml:space="preserve">cybersicurezza e business continuity </w:t>
      </w:r>
    </w:p>
    <w:p w:rsidR="00606481" w:rsidRDefault="00606481" w:rsidP="00606481">
      <w:pPr>
        <w:pStyle w:val="Default"/>
        <w:numPr>
          <w:ilvl w:val="0"/>
          <w:numId w:val="2"/>
        </w:numPr>
        <w:spacing w:after="46"/>
        <w:jc w:val="both"/>
        <w:rPr>
          <w:sz w:val="22"/>
          <w:szCs w:val="22"/>
        </w:rPr>
      </w:pPr>
      <w:r>
        <w:rPr>
          <w:sz w:val="22"/>
          <w:szCs w:val="22"/>
        </w:rPr>
        <w:t xml:space="preserve">big data e analytics </w:t>
      </w:r>
    </w:p>
    <w:p w:rsidR="00606481" w:rsidRDefault="00606481" w:rsidP="00606481">
      <w:pPr>
        <w:pStyle w:val="Default"/>
        <w:numPr>
          <w:ilvl w:val="0"/>
          <w:numId w:val="2"/>
        </w:numPr>
        <w:spacing w:after="46"/>
        <w:jc w:val="both"/>
        <w:rPr>
          <w:sz w:val="22"/>
          <w:szCs w:val="22"/>
        </w:rPr>
      </w:pPr>
      <w:r>
        <w:rPr>
          <w:sz w:val="22"/>
          <w:szCs w:val="22"/>
        </w:rPr>
        <w:t xml:space="preserve">soluzioni tecnologiche digitali di filiera finalizzate all’ottimizzazione della gestione della supply chain e della gestione delle relazioni con i diversi attori (es. sistemi che abilitano soluzioni di Drop Shipping, di “azzeramento di magazzino” e di “just in time”) </w:t>
      </w:r>
    </w:p>
    <w:p w:rsidR="00606481" w:rsidRDefault="00606481" w:rsidP="00606481">
      <w:pPr>
        <w:pStyle w:val="Default"/>
        <w:numPr>
          <w:ilvl w:val="0"/>
          <w:numId w:val="2"/>
        </w:numPr>
        <w:spacing w:after="46"/>
        <w:jc w:val="both"/>
        <w:rPr>
          <w:sz w:val="22"/>
          <w:szCs w:val="22"/>
        </w:rPr>
      </w:pPr>
      <w:r>
        <w:rPr>
          <w:sz w:val="22"/>
          <w:szCs w:val="22"/>
        </w:rPr>
        <w:t xml:space="preserve">software, piattaforme e applicazioni digitali per la gestione e il coordinamento della logistica con elevate caratteristiche di integrazione delle attività di servizio (comunicazione intra-impresa, impresa-campo con integrazione telematica dei dispositivi on-field e dei dispositivi mobili, rilevazione telematica di prestazioni e guasti dei dispositivi on-field; incluse attività connesse a sistemi informativi e gestionali - ad es. ERP, MES, PLM, SCM, CRM, etc.- e progettazione ed utilizzo di tecnologie di tracciamento, ad es. RFID, barcode, etc) </w:t>
      </w:r>
    </w:p>
    <w:p w:rsidR="00606481" w:rsidRDefault="00606481" w:rsidP="00606481">
      <w:pPr>
        <w:pStyle w:val="Default"/>
        <w:spacing w:after="46"/>
        <w:jc w:val="both"/>
        <w:rPr>
          <w:sz w:val="22"/>
          <w:szCs w:val="22"/>
        </w:rPr>
      </w:pPr>
      <w:r>
        <w:rPr>
          <w:b/>
          <w:bCs/>
          <w:sz w:val="22"/>
          <w:szCs w:val="22"/>
        </w:rPr>
        <w:t xml:space="preserve">Elenco 2: </w:t>
      </w:r>
      <w:r>
        <w:rPr>
          <w:sz w:val="22"/>
          <w:szCs w:val="22"/>
        </w:rPr>
        <w:t xml:space="preserve">utilizzo di altre tecnologie digitali, purché propedeutiche o complementari a quelle previste al precedente Elenco 1: </w:t>
      </w:r>
    </w:p>
    <w:p w:rsidR="00606481" w:rsidRDefault="00606481" w:rsidP="00606481">
      <w:pPr>
        <w:pStyle w:val="Default"/>
        <w:numPr>
          <w:ilvl w:val="0"/>
          <w:numId w:val="3"/>
        </w:numPr>
        <w:spacing w:after="46"/>
        <w:jc w:val="both"/>
        <w:rPr>
          <w:sz w:val="22"/>
          <w:szCs w:val="22"/>
        </w:rPr>
      </w:pPr>
      <w:r>
        <w:rPr>
          <w:sz w:val="22"/>
          <w:szCs w:val="22"/>
        </w:rPr>
        <w:lastRenderedPageBreak/>
        <w:t xml:space="preserve">sistemi di e-commerce </w:t>
      </w:r>
    </w:p>
    <w:p w:rsidR="00606481" w:rsidRDefault="00606481" w:rsidP="00606481">
      <w:pPr>
        <w:pStyle w:val="Default"/>
        <w:numPr>
          <w:ilvl w:val="0"/>
          <w:numId w:val="3"/>
        </w:numPr>
        <w:spacing w:after="46"/>
        <w:jc w:val="both"/>
        <w:rPr>
          <w:sz w:val="22"/>
          <w:szCs w:val="22"/>
        </w:rPr>
      </w:pPr>
      <w:r>
        <w:rPr>
          <w:sz w:val="22"/>
          <w:szCs w:val="22"/>
        </w:rPr>
        <w:t xml:space="preserve">sistemi di pagamento mobile e/o via Internet e fintech </w:t>
      </w:r>
    </w:p>
    <w:p w:rsidR="00606481" w:rsidRDefault="00606481" w:rsidP="00606481">
      <w:pPr>
        <w:pStyle w:val="Default"/>
        <w:numPr>
          <w:ilvl w:val="0"/>
          <w:numId w:val="3"/>
        </w:numPr>
        <w:spacing w:after="46"/>
        <w:jc w:val="both"/>
        <w:rPr>
          <w:sz w:val="22"/>
          <w:szCs w:val="22"/>
        </w:rPr>
      </w:pPr>
      <w:r>
        <w:rPr>
          <w:sz w:val="22"/>
          <w:szCs w:val="22"/>
        </w:rPr>
        <w:t xml:space="preserve">sistemi EDI, electronic data interchange </w:t>
      </w:r>
    </w:p>
    <w:p w:rsidR="00606481" w:rsidRDefault="00606481" w:rsidP="00606481">
      <w:pPr>
        <w:pStyle w:val="Default"/>
        <w:numPr>
          <w:ilvl w:val="0"/>
          <w:numId w:val="3"/>
        </w:numPr>
        <w:spacing w:after="46"/>
        <w:jc w:val="both"/>
        <w:rPr>
          <w:sz w:val="22"/>
          <w:szCs w:val="22"/>
        </w:rPr>
      </w:pPr>
      <w:r>
        <w:rPr>
          <w:sz w:val="22"/>
          <w:szCs w:val="22"/>
        </w:rPr>
        <w:t xml:space="preserve">geolocalizzazione </w:t>
      </w:r>
    </w:p>
    <w:p w:rsidR="00606481" w:rsidRDefault="00606481" w:rsidP="00606481">
      <w:pPr>
        <w:pStyle w:val="Default"/>
        <w:numPr>
          <w:ilvl w:val="0"/>
          <w:numId w:val="3"/>
        </w:numPr>
        <w:spacing w:after="46"/>
        <w:jc w:val="both"/>
        <w:rPr>
          <w:sz w:val="22"/>
          <w:szCs w:val="22"/>
        </w:rPr>
      </w:pPr>
      <w:r>
        <w:rPr>
          <w:sz w:val="22"/>
          <w:szCs w:val="22"/>
        </w:rPr>
        <w:t xml:space="preserve">tecnologie per l’in-store customer experience </w:t>
      </w:r>
    </w:p>
    <w:p w:rsidR="00606481" w:rsidRDefault="00606481" w:rsidP="00606481">
      <w:pPr>
        <w:pStyle w:val="Default"/>
        <w:numPr>
          <w:ilvl w:val="0"/>
          <w:numId w:val="3"/>
        </w:numPr>
        <w:jc w:val="both"/>
        <w:rPr>
          <w:sz w:val="22"/>
          <w:szCs w:val="22"/>
        </w:rPr>
      </w:pPr>
      <w:r>
        <w:rPr>
          <w:sz w:val="22"/>
          <w:szCs w:val="22"/>
        </w:rPr>
        <w:t xml:space="preserve">system integration applicata all’automazione dei processi. </w:t>
      </w:r>
    </w:p>
    <w:p w:rsidR="005532BC" w:rsidRDefault="005532BC" w:rsidP="0090398C">
      <w:pPr>
        <w:pStyle w:val="Default"/>
        <w:jc w:val="both"/>
        <w:rPr>
          <w:b/>
        </w:rPr>
      </w:pPr>
    </w:p>
    <w:p w:rsidR="00606481" w:rsidRDefault="00606481" w:rsidP="0090398C">
      <w:pPr>
        <w:pStyle w:val="Default"/>
        <w:jc w:val="both"/>
        <w:rPr>
          <w:b/>
          <w:sz w:val="22"/>
          <w:szCs w:val="22"/>
        </w:rPr>
      </w:pPr>
      <w:r w:rsidRPr="00527E14">
        <w:rPr>
          <w:b/>
          <w:sz w:val="22"/>
          <w:szCs w:val="22"/>
        </w:rPr>
        <w:t>SPESE AMMISSIBILI</w:t>
      </w:r>
    </w:p>
    <w:p w:rsidR="005051BA" w:rsidRPr="00527E14" w:rsidRDefault="005051BA" w:rsidP="0090398C">
      <w:pPr>
        <w:pStyle w:val="Default"/>
        <w:jc w:val="both"/>
        <w:rPr>
          <w:b/>
          <w:sz w:val="22"/>
          <w:szCs w:val="22"/>
        </w:rPr>
      </w:pPr>
    </w:p>
    <w:p w:rsidR="0090398C" w:rsidRPr="0090398C" w:rsidRDefault="0090398C" w:rsidP="005051BA">
      <w:pPr>
        <w:pStyle w:val="Default"/>
        <w:numPr>
          <w:ilvl w:val="0"/>
          <w:numId w:val="8"/>
        </w:numPr>
        <w:spacing w:line="276" w:lineRule="auto"/>
        <w:jc w:val="both"/>
        <w:rPr>
          <w:sz w:val="22"/>
          <w:szCs w:val="22"/>
        </w:rPr>
      </w:pPr>
      <w:r w:rsidRPr="0090398C">
        <w:rPr>
          <w:b/>
          <w:bCs/>
          <w:sz w:val="22"/>
          <w:szCs w:val="22"/>
        </w:rPr>
        <w:t xml:space="preserve">Per la Misura A </w:t>
      </w:r>
      <w:r w:rsidRPr="0090398C">
        <w:rPr>
          <w:sz w:val="22"/>
          <w:szCs w:val="22"/>
        </w:rPr>
        <w:t xml:space="preserve">e la </w:t>
      </w:r>
      <w:r w:rsidRPr="0090398C">
        <w:rPr>
          <w:b/>
          <w:bCs/>
          <w:sz w:val="22"/>
          <w:szCs w:val="22"/>
        </w:rPr>
        <w:t xml:space="preserve">Misura B </w:t>
      </w:r>
      <w:r w:rsidRPr="0090398C">
        <w:rPr>
          <w:sz w:val="22"/>
          <w:szCs w:val="22"/>
        </w:rPr>
        <w:t xml:space="preserve">sono ammissibili le spese per: </w:t>
      </w:r>
    </w:p>
    <w:p w:rsidR="0090398C" w:rsidRDefault="0090398C" w:rsidP="005051BA">
      <w:pPr>
        <w:pStyle w:val="Default"/>
        <w:numPr>
          <w:ilvl w:val="0"/>
          <w:numId w:val="6"/>
        </w:numPr>
        <w:spacing w:after="18" w:line="276" w:lineRule="auto"/>
        <w:ind w:left="1134"/>
        <w:jc w:val="both"/>
        <w:rPr>
          <w:sz w:val="22"/>
          <w:szCs w:val="22"/>
        </w:rPr>
      </w:pPr>
      <w:r>
        <w:rPr>
          <w:sz w:val="22"/>
          <w:szCs w:val="22"/>
        </w:rPr>
        <w:t xml:space="preserve">servizi di consulenza e/o formazione relativi ad una o più tecnologie tra quelle previste all’art. 2, comma 3 del presente Bando. Tali spese devono rappresentare almeno il 50% delle spese ammissibili; </w:t>
      </w:r>
    </w:p>
    <w:p w:rsidR="0090398C" w:rsidRDefault="0090398C" w:rsidP="005051BA">
      <w:pPr>
        <w:pStyle w:val="Default"/>
        <w:numPr>
          <w:ilvl w:val="0"/>
          <w:numId w:val="6"/>
        </w:numPr>
        <w:spacing w:line="276" w:lineRule="auto"/>
        <w:ind w:left="1134"/>
        <w:jc w:val="both"/>
        <w:rPr>
          <w:sz w:val="22"/>
          <w:szCs w:val="22"/>
        </w:rPr>
      </w:pPr>
      <w:r>
        <w:rPr>
          <w:sz w:val="22"/>
          <w:szCs w:val="22"/>
        </w:rPr>
        <w:t>acquisto di beni e servizi strumentali, nel limite massimo del 50% delle spese ammissibili, funzionali all’acquisizi</w:t>
      </w:r>
      <w:r w:rsidR="005051BA">
        <w:rPr>
          <w:sz w:val="22"/>
          <w:szCs w:val="22"/>
        </w:rPr>
        <w:t>one delle tecnologie abilitanti.</w:t>
      </w:r>
    </w:p>
    <w:p w:rsidR="00606481" w:rsidRDefault="0090398C" w:rsidP="005051BA">
      <w:pPr>
        <w:pStyle w:val="Default"/>
        <w:numPr>
          <w:ilvl w:val="0"/>
          <w:numId w:val="8"/>
        </w:numPr>
        <w:spacing w:line="276" w:lineRule="auto"/>
        <w:jc w:val="both"/>
        <w:rPr>
          <w:sz w:val="22"/>
          <w:szCs w:val="22"/>
        </w:rPr>
      </w:pPr>
      <w:r>
        <w:rPr>
          <w:sz w:val="22"/>
          <w:szCs w:val="22"/>
        </w:rPr>
        <w:t>Sono escluse le spese di trasporto, vitto e alloggio e generali.</w:t>
      </w:r>
    </w:p>
    <w:p w:rsidR="0090398C" w:rsidRDefault="0090398C" w:rsidP="005051BA">
      <w:pPr>
        <w:pStyle w:val="Default"/>
        <w:numPr>
          <w:ilvl w:val="0"/>
          <w:numId w:val="8"/>
        </w:numPr>
        <w:spacing w:line="276" w:lineRule="auto"/>
        <w:jc w:val="both"/>
        <w:rPr>
          <w:sz w:val="22"/>
          <w:szCs w:val="22"/>
        </w:rPr>
      </w:pPr>
      <w:r>
        <w:rPr>
          <w:sz w:val="22"/>
          <w:szCs w:val="22"/>
        </w:rPr>
        <w:t xml:space="preserve">L’acquisto di beni e di servizi di consulenza o formazione non potranno in nessun caso ricomprendere le seguenti attività: </w:t>
      </w:r>
    </w:p>
    <w:p w:rsidR="0090398C" w:rsidRDefault="0090398C" w:rsidP="005051BA">
      <w:pPr>
        <w:pStyle w:val="Default"/>
        <w:spacing w:after="18" w:line="276" w:lineRule="auto"/>
        <w:ind w:left="709"/>
        <w:rPr>
          <w:sz w:val="22"/>
          <w:szCs w:val="22"/>
        </w:rPr>
      </w:pPr>
      <w:r>
        <w:rPr>
          <w:sz w:val="22"/>
          <w:szCs w:val="22"/>
        </w:rPr>
        <w:t xml:space="preserve">● assistenza per acquisizione di certificazioni (es. ISO, EMAS, ecc.); </w:t>
      </w:r>
    </w:p>
    <w:p w:rsidR="0090398C" w:rsidRDefault="0090398C" w:rsidP="005051BA">
      <w:pPr>
        <w:pStyle w:val="Default"/>
        <w:spacing w:line="276" w:lineRule="auto"/>
        <w:ind w:left="709"/>
        <w:rPr>
          <w:sz w:val="22"/>
          <w:szCs w:val="22"/>
        </w:rPr>
      </w:pPr>
      <w:r>
        <w:rPr>
          <w:sz w:val="22"/>
          <w:szCs w:val="22"/>
        </w:rPr>
        <w:t xml:space="preserve">● in generale, supporto e assistenza per adeguamenti a norme di legge o di consulenza/assistenza relativa, in modo preponderante, a tematiche di tipo fiscale, finanziario o giuridico. </w:t>
      </w:r>
    </w:p>
    <w:p w:rsidR="0090398C" w:rsidRDefault="0090398C" w:rsidP="005051BA">
      <w:pPr>
        <w:pStyle w:val="Default"/>
        <w:numPr>
          <w:ilvl w:val="0"/>
          <w:numId w:val="8"/>
        </w:numPr>
        <w:spacing w:line="276" w:lineRule="auto"/>
        <w:jc w:val="both"/>
        <w:rPr>
          <w:sz w:val="22"/>
          <w:szCs w:val="22"/>
        </w:rPr>
      </w:pPr>
      <w:r>
        <w:rPr>
          <w:sz w:val="22"/>
          <w:szCs w:val="22"/>
        </w:rPr>
        <w:t xml:space="preserve">In fase di presentazione della domanda deve essere specificato, pena la non ammissibilità, il riferimento a quali ambiti tecnologici, tra quelli indicati all’art. 2, comma 3, Elenco 1 del presente Bando, si riferisce la spesa, con l’indicazione della ragione sociale e partita IVA dei fornitori. In particolare, nel caso di spese relative a servizi di consulenza e formazione sulle tecnologie di cui all’art. 2 comma 3, Elenco 2, la domanda di contributo – pena la non ammissibilità - dovrà contenere la motivazione dell’utilizzo ed il collegamento con le tecnologie dell’Elenco 1. </w:t>
      </w:r>
    </w:p>
    <w:p w:rsidR="0090398C" w:rsidRDefault="0090398C" w:rsidP="005051BA">
      <w:pPr>
        <w:pStyle w:val="Default"/>
        <w:numPr>
          <w:ilvl w:val="0"/>
          <w:numId w:val="8"/>
        </w:numPr>
        <w:spacing w:line="276" w:lineRule="auto"/>
        <w:jc w:val="both"/>
        <w:rPr>
          <w:sz w:val="22"/>
          <w:szCs w:val="22"/>
        </w:rPr>
      </w:pPr>
      <w:r>
        <w:rPr>
          <w:sz w:val="22"/>
          <w:szCs w:val="22"/>
        </w:rPr>
        <w:t xml:space="preserve"> </w:t>
      </w:r>
      <w:r>
        <w:rPr>
          <w:b/>
          <w:bCs/>
          <w:sz w:val="22"/>
          <w:szCs w:val="22"/>
        </w:rPr>
        <w:t xml:space="preserve">Tutte le spese possono essere sostenute a partire dal 01/01/2019 fino al 120° giorno successivo alla data della Determinazione di approvazione delle graduatorie delle domande ammesse a contributo. </w:t>
      </w:r>
    </w:p>
    <w:p w:rsidR="0090398C" w:rsidRDefault="0090398C" w:rsidP="005051BA">
      <w:pPr>
        <w:pStyle w:val="Default"/>
        <w:numPr>
          <w:ilvl w:val="0"/>
          <w:numId w:val="8"/>
        </w:numPr>
        <w:spacing w:line="276" w:lineRule="auto"/>
        <w:jc w:val="both"/>
        <w:rPr>
          <w:sz w:val="22"/>
          <w:szCs w:val="22"/>
        </w:rPr>
      </w:pPr>
      <w:r>
        <w:rPr>
          <w:sz w:val="22"/>
          <w:szCs w:val="22"/>
        </w:rPr>
        <w:t>Tutte le spese si intendono al netto dell’IVA, il cui computo non rientra nelle spese ammesse, ad eccezione del caso in cui il soggetto beneficiario ne sostenga il costo senza possibilità di recupero.</w:t>
      </w:r>
    </w:p>
    <w:p w:rsidR="00606481" w:rsidRDefault="00606481" w:rsidP="00606481">
      <w:pPr>
        <w:pStyle w:val="Default"/>
        <w:jc w:val="both"/>
        <w:rPr>
          <w:sz w:val="22"/>
          <w:szCs w:val="22"/>
        </w:rPr>
      </w:pPr>
    </w:p>
    <w:p w:rsidR="000B539C" w:rsidRDefault="000B539C">
      <w:pPr>
        <w:rPr>
          <w:rFonts w:ascii="Calibri" w:hAnsi="Calibri" w:cs="Calibri"/>
          <w:color w:val="000000"/>
          <w:sz w:val="24"/>
          <w:szCs w:val="24"/>
        </w:rPr>
      </w:pPr>
      <w:r>
        <w:br w:type="page"/>
      </w:r>
    </w:p>
    <w:p w:rsidR="0090398C" w:rsidRDefault="0090398C" w:rsidP="0090398C">
      <w:pPr>
        <w:pStyle w:val="Default"/>
        <w:jc w:val="center"/>
        <w:rPr>
          <w:sz w:val="36"/>
          <w:szCs w:val="36"/>
        </w:rPr>
      </w:pPr>
      <w:r>
        <w:rPr>
          <w:sz w:val="36"/>
          <w:szCs w:val="36"/>
        </w:rPr>
        <w:lastRenderedPageBreak/>
        <w:t>SINTESI SCHEDA MISURA A</w:t>
      </w:r>
    </w:p>
    <w:p w:rsidR="0090398C" w:rsidRDefault="0090398C" w:rsidP="0090398C">
      <w:pPr>
        <w:pStyle w:val="Default"/>
      </w:pPr>
    </w:p>
    <w:p w:rsidR="0090398C" w:rsidRPr="000B539C" w:rsidRDefault="0090398C" w:rsidP="0090398C">
      <w:pPr>
        <w:pStyle w:val="Default"/>
        <w:rPr>
          <w:b/>
        </w:rPr>
      </w:pPr>
      <w:r w:rsidRPr="000B539C">
        <w:rPr>
          <w:b/>
        </w:rPr>
        <w:t>TIPOLOGIA DI INTEVENTO</w:t>
      </w:r>
    </w:p>
    <w:p w:rsidR="0090398C" w:rsidRDefault="0090398C" w:rsidP="0090398C">
      <w:pPr>
        <w:pStyle w:val="Default"/>
      </w:pPr>
    </w:p>
    <w:p w:rsidR="0090398C" w:rsidRDefault="0090398C" w:rsidP="0090398C">
      <w:pPr>
        <w:pStyle w:val="Default"/>
        <w:jc w:val="both"/>
        <w:rPr>
          <w:sz w:val="22"/>
          <w:szCs w:val="22"/>
        </w:rPr>
      </w:pPr>
      <w:r>
        <w:rPr>
          <w:sz w:val="22"/>
          <w:szCs w:val="22"/>
        </w:rPr>
        <w:t>Le MPMI aventi sede legale e/o operativa nella circoscrizione territoriale della Camera di commercio di Caserta.</w:t>
      </w:r>
    </w:p>
    <w:p w:rsidR="0090398C" w:rsidRDefault="0090398C" w:rsidP="0090398C">
      <w:pPr>
        <w:pStyle w:val="Default"/>
        <w:jc w:val="both"/>
        <w:rPr>
          <w:sz w:val="22"/>
          <w:szCs w:val="22"/>
        </w:rPr>
      </w:pPr>
      <w:r>
        <w:rPr>
          <w:sz w:val="22"/>
          <w:szCs w:val="22"/>
        </w:rPr>
        <w:t xml:space="preserve">I progetti riguardano </w:t>
      </w:r>
      <w:r w:rsidRPr="0090398C">
        <w:rPr>
          <w:b/>
          <w:sz w:val="22"/>
          <w:szCs w:val="22"/>
        </w:rPr>
        <w:t>da 3 a 20 imprese</w:t>
      </w:r>
      <w:r>
        <w:rPr>
          <w:sz w:val="22"/>
          <w:szCs w:val="22"/>
        </w:rPr>
        <w:t>, le quali condividono gli obiettivi del progetto.</w:t>
      </w:r>
    </w:p>
    <w:p w:rsidR="0090398C" w:rsidRDefault="0090398C" w:rsidP="0090398C">
      <w:pPr>
        <w:pStyle w:val="Default"/>
        <w:jc w:val="both"/>
      </w:pPr>
    </w:p>
    <w:p w:rsidR="0090398C" w:rsidRPr="000B539C" w:rsidRDefault="0090398C" w:rsidP="0090398C">
      <w:pPr>
        <w:pStyle w:val="Default"/>
        <w:jc w:val="both"/>
        <w:rPr>
          <w:b/>
        </w:rPr>
      </w:pPr>
      <w:r w:rsidRPr="000B539C">
        <w:rPr>
          <w:b/>
        </w:rPr>
        <w:t>ENTITA’ DEL CONTRIBUTO</w:t>
      </w:r>
    </w:p>
    <w:p w:rsidR="0090398C" w:rsidRDefault="0090398C" w:rsidP="0090398C">
      <w:pPr>
        <w:pStyle w:val="Default"/>
        <w:jc w:val="both"/>
      </w:pPr>
    </w:p>
    <w:tbl>
      <w:tblPr>
        <w:tblStyle w:val="Grigliatabella"/>
        <w:tblW w:w="0" w:type="auto"/>
        <w:tblLook w:val="04A0"/>
      </w:tblPr>
      <w:tblGrid>
        <w:gridCol w:w="4889"/>
        <w:gridCol w:w="4889"/>
      </w:tblGrid>
      <w:tr w:rsidR="0090398C" w:rsidTr="0090398C">
        <w:tc>
          <w:tcPr>
            <w:tcW w:w="4889" w:type="dxa"/>
          </w:tcPr>
          <w:p w:rsidR="0090398C" w:rsidRDefault="0090398C" w:rsidP="0090398C">
            <w:pPr>
              <w:pStyle w:val="Default"/>
              <w:jc w:val="center"/>
            </w:pPr>
            <w:r>
              <w:t>IMPORTO MINIMO</w:t>
            </w:r>
          </w:p>
        </w:tc>
        <w:tc>
          <w:tcPr>
            <w:tcW w:w="4889" w:type="dxa"/>
          </w:tcPr>
          <w:p w:rsidR="0090398C" w:rsidRDefault="0090398C" w:rsidP="0090398C">
            <w:pPr>
              <w:pStyle w:val="Default"/>
              <w:jc w:val="center"/>
            </w:pPr>
            <w:r>
              <w:t>IMPORTO MASSIMO</w:t>
            </w:r>
          </w:p>
        </w:tc>
      </w:tr>
      <w:tr w:rsidR="0090398C" w:rsidTr="0090398C">
        <w:tc>
          <w:tcPr>
            <w:tcW w:w="4889" w:type="dxa"/>
          </w:tcPr>
          <w:p w:rsidR="0090398C" w:rsidRPr="0090398C" w:rsidRDefault="0090398C" w:rsidP="0090398C">
            <w:pPr>
              <w:pStyle w:val="Default"/>
              <w:jc w:val="center"/>
              <w:rPr>
                <w:b/>
              </w:rPr>
            </w:pPr>
            <w:r w:rsidRPr="0090398C">
              <w:rPr>
                <w:b/>
              </w:rPr>
              <w:t>€ 5.000,00</w:t>
            </w:r>
          </w:p>
          <w:p w:rsidR="0090398C" w:rsidRDefault="0090398C" w:rsidP="0090398C">
            <w:pPr>
              <w:pStyle w:val="Default"/>
              <w:jc w:val="center"/>
            </w:pPr>
            <w:r>
              <w:rPr>
                <w:i/>
                <w:iCs/>
                <w:sz w:val="22"/>
                <w:szCs w:val="22"/>
              </w:rPr>
              <w:t>valore minimo dell’investimento per ciascuna impresa partecipante al progetto</w:t>
            </w:r>
          </w:p>
        </w:tc>
        <w:tc>
          <w:tcPr>
            <w:tcW w:w="4889" w:type="dxa"/>
          </w:tcPr>
          <w:p w:rsidR="0090398C" w:rsidRPr="0090398C" w:rsidRDefault="0090398C" w:rsidP="0090398C">
            <w:pPr>
              <w:pStyle w:val="Default"/>
              <w:jc w:val="center"/>
              <w:rPr>
                <w:b/>
              </w:rPr>
            </w:pPr>
            <w:r w:rsidRPr="0090398C">
              <w:rPr>
                <w:b/>
              </w:rPr>
              <w:t>€ 10.000,00</w:t>
            </w:r>
          </w:p>
          <w:p w:rsidR="0090398C" w:rsidRDefault="0090398C" w:rsidP="0090398C">
            <w:pPr>
              <w:pStyle w:val="Default"/>
              <w:jc w:val="center"/>
            </w:pPr>
            <w:r>
              <w:rPr>
                <w:i/>
                <w:iCs/>
                <w:sz w:val="22"/>
                <w:szCs w:val="22"/>
              </w:rPr>
              <w:t>non comprensivo dell’eventuale premialità di cui all’art. 3, comma 5 “Rating di legalità” della parte generale del presente Bando, concedibile nel limite del 100% delle spese ammissibili e nel rispetto dei pertinenti massimali de minimis.</w:t>
            </w:r>
          </w:p>
        </w:tc>
      </w:tr>
    </w:tbl>
    <w:p w:rsidR="0090398C" w:rsidRDefault="0090398C" w:rsidP="0090398C">
      <w:pPr>
        <w:pStyle w:val="Default"/>
        <w:jc w:val="both"/>
      </w:pPr>
    </w:p>
    <w:p w:rsidR="0090398C" w:rsidRPr="000B539C" w:rsidRDefault="0090398C" w:rsidP="0090398C">
      <w:pPr>
        <w:pStyle w:val="Default"/>
        <w:jc w:val="both"/>
        <w:rPr>
          <w:b/>
        </w:rPr>
      </w:pPr>
      <w:r w:rsidRPr="000B539C">
        <w:rPr>
          <w:b/>
        </w:rPr>
        <w:t>SOGGETTI PROPONENTI</w:t>
      </w:r>
    </w:p>
    <w:p w:rsidR="0090398C" w:rsidRDefault="0090398C" w:rsidP="0090398C">
      <w:pPr>
        <w:pStyle w:val="Default"/>
      </w:pPr>
    </w:p>
    <w:p w:rsidR="0090398C" w:rsidRDefault="0090398C" w:rsidP="0090398C">
      <w:pPr>
        <w:pStyle w:val="Default"/>
        <w:numPr>
          <w:ilvl w:val="0"/>
          <w:numId w:val="10"/>
        </w:numPr>
        <w:spacing w:after="49"/>
        <w:jc w:val="both"/>
        <w:rPr>
          <w:sz w:val="22"/>
          <w:szCs w:val="22"/>
        </w:rPr>
      </w:pPr>
      <w:r>
        <w:rPr>
          <w:sz w:val="22"/>
          <w:szCs w:val="22"/>
        </w:rPr>
        <w:t xml:space="preserve">DIH-Digital Innovation Hub ed EDI-Ecosistema Digitale per l'Innovazione, di cui al Piano Nazionale Industria 4.0; </w:t>
      </w:r>
    </w:p>
    <w:p w:rsidR="0090398C" w:rsidRDefault="0090398C" w:rsidP="0090398C">
      <w:pPr>
        <w:pStyle w:val="Default"/>
        <w:numPr>
          <w:ilvl w:val="0"/>
          <w:numId w:val="10"/>
        </w:numPr>
        <w:spacing w:after="49"/>
        <w:jc w:val="both"/>
        <w:rPr>
          <w:sz w:val="22"/>
          <w:szCs w:val="22"/>
        </w:rPr>
      </w:pPr>
      <w:r>
        <w:rPr>
          <w:sz w:val="22"/>
          <w:szCs w:val="22"/>
        </w:rPr>
        <w:t xml:space="preserve">centri di ricerca e trasferimento tecnologico, Competence center di cui al Piano nazionale Industria 4.0, parchi scientifici e tecnologici, centri per l’innovazione, Tecnopoli, cluster tecnologici ed altre strutture per il trasferimento tecnologico, accreditati o riconosciuti da normative o atti amministrativi regionali o nazionali; </w:t>
      </w:r>
    </w:p>
    <w:p w:rsidR="0090398C" w:rsidRDefault="0090398C" w:rsidP="0090398C">
      <w:pPr>
        <w:pStyle w:val="Default"/>
        <w:numPr>
          <w:ilvl w:val="0"/>
          <w:numId w:val="10"/>
        </w:numPr>
        <w:spacing w:after="49"/>
        <w:jc w:val="both"/>
        <w:rPr>
          <w:sz w:val="22"/>
          <w:szCs w:val="22"/>
        </w:rPr>
      </w:pPr>
      <w:r>
        <w:rPr>
          <w:sz w:val="22"/>
          <w:szCs w:val="22"/>
        </w:rPr>
        <w:t xml:space="preserve">Incubatori certificati di cui all’art. 25 del D.L. 18 ottobre 2012, n. 179 convertito, con modificazioni, dalla L. 17 dicembre 2012, n. 221 e s.m.i. e incubatori regionali accreditati; </w:t>
      </w:r>
    </w:p>
    <w:p w:rsidR="0090398C" w:rsidRDefault="0090398C" w:rsidP="0090398C">
      <w:pPr>
        <w:pStyle w:val="Default"/>
        <w:numPr>
          <w:ilvl w:val="0"/>
          <w:numId w:val="10"/>
        </w:numPr>
        <w:spacing w:after="49"/>
        <w:jc w:val="both"/>
        <w:rPr>
          <w:sz w:val="22"/>
          <w:szCs w:val="22"/>
        </w:rPr>
      </w:pPr>
      <w:r>
        <w:rPr>
          <w:sz w:val="22"/>
          <w:szCs w:val="22"/>
        </w:rPr>
        <w:t xml:space="preserve">FABLAB, definiti come centri attrezzati per la fabbricazione digitale che rispettino i requisiti internazionali definiti nella FabLab Charter (http://fab.cba.mit.edu/about/charter/); </w:t>
      </w:r>
    </w:p>
    <w:p w:rsidR="0090398C" w:rsidRDefault="0090398C" w:rsidP="0090398C">
      <w:pPr>
        <w:pStyle w:val="Default"/>
        <w:numPr>
          <w:ilvl w:val="0"/>
          <w:numId w:val="10"/>
        </w:numPr>
        <w:spacing w:after="49"/>
        <w:jc w:val="both"/>
        <w:rPr>
          <w:sz w:val="22"/>
          <w:szCs w:val="22"/>
        </w:rPr>
      </w:pPr>
      <w:r>
        <w:rPr>
          <w:sz w:val="22"/>
          <w:szCs w:val="22"/>
        </w:rPr>
        <w:t xml:space="preserve">centri di trasferimento tecnologico su tematiche Industria 4.0 come definiti dal D.M. 22 maggio 2017 (MiSE) – (http://www.unioncamere.gov.it/P42A3764C3669S3692/elenco-dei-centri-di-trasferimento-tecnologico-industria-4-0-certificati.htm); </w:t>
      </w:r>
    </w:p>
    <w:p w:rsidR="0090398C" w:rsidRDefault="0090398C" w:rsidP="0090398C">
      <w:pPr>
        <w:pStyle w:val="Default"/>
        <w:numPr>
          <w:ilvl w:val="0"/>
          <w:numId w:val="10"/>
        </w:numPr>
        <w:spacing w:after="49"/>
        <w:jc w:val="both"/>
        <w:rPr>
          <w:sz w:val="22"/>
          <w:szCs w:val="22"/>
        </w:rPr>
      </w:pPr>
      <w:r>
        <w:rPr>
          <w:sz w:val="22"/>
          <w:szCs w:val="22"/>
        </w:rPr>
        <w:t xml:space="preserve">start-up innovative di cui all’art. 25 del D.L. 18 ottobre 2012, n. 179 convertito, con modificazioni, dalla L. 17 dicembre 2012, n. 221 e s.m.i. e PMI innovative di cui all’art. 4 del D.L. 24 gennaio 2015 n. 3, convertito, con modificazioni, dalla L. 24 marzo 2015, n.33; </w:t>
      </w:r>
    </w:p>
    <w:p w:rsidR="0090398C" w:rsidRDefault="0090398C" w:rsidP="0090398C">
      <w:pPr>
        <w:pStyle w:val="Default"/>
        <w:numPr>
          <w:ilvl w:val="0"/>
          <w:numId w:val="10"/>
        </w:numPr>
        <w:jc w:val="both"/>
        <w:rPr>
          <w:sz w:val="22"/>
          <w:szCs w:val="22"/>
        </w:rPr>
      </w:pPr>
      <w:r>
        <w:rPr>
          <w:sz w:val="22"/>
          <w:szCs w:val="22"/>
        </w:rPr>
        <w:t xml:space="preserve">ulteriori soggetti proponenti a condizione che essi abbiano realizzato nell’ultimo triennio almeno tre attività per servizi di consulenza alle imprese nell’ambito delle tecnologie di cui art. 2, comma 3, Elenco 1. Il soggetto proponente è tenuto, al riguardo, a fornire adeguate informazioni in fase di presentazione della domanda, attraverso la compilazione del modulo di autodichiarazione. </w:t>
      </w:r>
    </w:p>
    <w:p w:rsidR="0012583B" w:rsidRPr="000B539C" w:rsidRDefault="0090398C" w:rsidP="0012583B">
      <w:pPr>
        <w:pStyle w:val="Default"/>
        <w:numPr>
          <w:ilvl w:val="0"/>
          <w:numId w:val="10"/>
        </w:numPr>
        <w:jc w:val="both"/>
      </w:pPr>
      <w:r>
        <w:rPr>
          <w:sz w:val="22"/>
          <w:szCs w:val="22"/>
        </w:rPr>
        <w:t>Ciascun soggetto proponente può presentare fino ad un massimo di due progetti aggregati.</w:t>
      </w:r>
    </w:p>
    <w:p w:rsidR="000B539C" w:rsidRPr="000B539C" w:rsidRDefault="000B539C" w:rsidP="000B539C">
      <w:pPr>
        <w:rPr>
          <w:rFonts w:ascii="Calibri" w:hAnsi="Calibri" w:cs="Calibri"/>
          <w:color w:val="000000"/>
        </w:rPr>
      </w:pPr>
      <w:r>
        <w:br w:type="page"/>
      </w:r>
    </w:p>
    <w:p w:rsidR="0012583B" w:rsidRDefault="0012583B" w:rsidP="0012583B">
      <w:pPr>
        <w:pStyle w:val="Default"/>
        <w:jc w:val="center"/>
        <w:rPr>
          <w:sz w:val="36"/>
          <w:szCs w:val="36"/>
        </w:rPr>
      </w:pPr>
      <w:r>
        <w:rPr>
          <w:sz w:val="36"/>
          <w:szCs w:val="36"/>
        </w:rPr>
        <w:lastRenderedPageBreak/>
        <w:t>SINTESI SCHEDA MISURA B</w:t>
      </w:r>
    </w:p>
    <w:p w:rsidR="0012583B" w:rsidRDefault="0012583B" w:rsidP="0012583B">
      <w:pPr>
        <w:pStyle w:val="Default"/>
      </w:pPr>
    </w:p>
    <w:p w:rsidR="0012583B" w:rsidRPr="000B539C" w:rsidRDefault="0012583B" w:rsidP="0012583B">
      <w:pPr>
        <w:pStyle w:val="Default"/>
        <w:rPr>
          <w:b/>
        </w:rPr>
      </w:pPr>
      <w:r w:rsidRPr="000B539C">
        <w:rPr>
          <w:b/>
        </w:rPr>
        <w:t>TIPOLOGIA DI INTEVENTO</w:t>
      </w:r>
    </w:p>
    <w:p w:rsidR="0012583B" w:rsidRDefault="0012583B" w:rsidP="0012583B">
      <w:pPr>
        <w:pStyle w:val="Default"/>
        <w:jc w:val="both"/>
      </w:pPr>
    </w:p>
    <w:p w:rsidR="0012583B" w:rsidRDefault="0012583B" w:rsidP="0012583B">
      <w:pPr>
        <w:pStyle w:val="Default"/>
        <w:jc w:val="both"/>
        <w:rPr>
          <w:sz w:val="22"/>
          <w:szCs w:val="22"/>
        </w:rPr>
      </w:pPr>
      <w:r>
        <w:rPr>
          <w:sz w:val="22"/>
          <w:szCs w:val="22"/>
        </w:rPr>
        <w:t xml:space="preserve">Le MPMI aventi sede legale e/o operativa nella circoscrizione territoriale della Camera di commercio di Caserta possono richiedere un voucher per l’acquisto di beni e servizi strumentali e per consulenza e/o formazione focalizzati sulle nuove competenze e tecnologie. </w:t>
      </w:r>
    </w:p>
    <w:p w:rsidR="0012583B" w:rsidRDefault="0012583B" w:rsidP="0012583B">
      <w:pPr>
        <w:pStyle w:val="Default"/>
        <w:jc w:val="both"/>
        <w:rPr>
          <w:sz w:val="22"/>
          <w:szCs w:val="22"/>
        </w:rPr>
      </w:pPr>
      <w:r>
        <w:rPr>
          <w:sz w:val="22"/>
          <w:szCs w:val="22"/>
        </w:rPr>
        <w:t xml:space="preserve">Ai fini del presente Bando, l’impresa dovrà avvalersi esclusivamente per i servizi di consulenza e formazione di uno o più fornitori tra i seguenti: </w:t>
      </w:r>
    </w:p>
    <w:p w:rsidR="0012583B" w:rsidRDefault="0012583B" w:rsidP="0012583B">
      <w:pPr>
        <w:pStyle w:val="Default"/>
        <w:numPr>
          <w:ilvl w:val="0"/>
          <w:numId w:val="11"/>
        </w:numPr>
        <w:spacing w:after="49"/>
        <w:jc w:val="both"/>
        <w:rPr>
          <w:sz w:val="22"/>
          <w:szCs w:val="22"/>
        </w:rPr>
      </w:pPr>
      <w:r>
        <w:rPr>
          <w:sz w:val="22"/>
          <w:szCs w:val="22"/>
        </w:rPr>
        <w:t xml:space="preserve">centri di ricerca e trasferimento tecnologico, Competence center di cui al Piano Impresa 4.0, parchi scientifici e tecnologici, centri per l’innovazione, Tecnopoli, cluster tecnologici ed altre strutture per il trasferimento tecnologico, accreditati o riconosciuti da normative o atti amministrativi regionali o nazionali; </w:t>
      </w:r>
    </w:p>
    <w:p w:rsidR="0012583B" w:rsidRDefault="0012583B" w:rsidP="0012583B">
      <w:pPr>
        <w:pStyle w:val="Default"/>
        <w:numPr>
          <w:ilvl w:val="0"/>
          <w:numId w:val="11"/>
        </w:numPr>
        <w:spacing w:after="49"/>
        <w:jc w:val="both"/>
        <w:rPr>
          <w:sz w:val="22"/>
          <w:szCs w:val="22"/>
        </w:rPr>
      </w:pPr>
      <w:r>
        <w:rPr>
          <w:sz w:val="22"/>
          <w:szCs w:val="22"/>
        </w:rPr>
        <w:t xml:space="preserve">incubatori certificati di cui all’art. 25 del D.L. 18 ottobre 2012, n. 179 convertito, con modificazioni, dalla L. 17 dicembre 2012, n. 221 e s.m.i. e incubatori regionali accreditati; </w:t>
      </w:r>
    </w:p>
    <w:p w:rsidR="0012583B" w:rsidRDefault="0012583B" w:rsidP="0012583B">
      <w:pPr>
        <w:pStyle w:val="Default"/>
        <w:numPr>
          <w:ilvl w:val="0"/>
          <w:numId w:val="11"/>
        </w:numPr>
        <w:spacing w:after="49"/>
        <w:jc w:val="both"/>
        <w:rPr>
          <w:sz w:val="22"/>
          <w:szCs w:val="22"/>
        </w:rPr>
      </w:pPr>
      <w:r>
        <w:rPr>
          <w:sz w:val="22"/>
          <w:szCs w:val="22"/>
        </w:rPr>
        <w:t xml:space="preserve">FABLAB, definiti come centri attrezzati per la fabbricazione digitale che rispettino i requisiti internazionali definiti nella FabLab Charter </w:t>
      </w:r>
      <w:r>
        <w:rPr>
          <w:i/>
          <w:iCs/>
          <w:sz w:val="22"/>
          <w:szCs w:val="22"/>
        </w:rPr>
        <w:t xml:space="preserve">(http://fab.cba.mit.edu/about/charter/); </w:t>
      </w:r>
    </w:p>
    <w:p w:rsidR="0012583B" w:rsidRDefault="0012583B" w:rsidP="0012583B">
      <w:pPr>
        <w:pStyle w:val="Default"/>
        <w:numPr>
          <w:ilvl w:val="0"/>
          <w:numId w:val="11"/>
        </w:numPr>
        <w:spacing w:after="49"/>
        <w:jc w:val="both"/>
        <w:rPr>
          <w:sz w:val="22"/>
          <w:szCs w:val="22"/>
        </w:rPr>
      </w:pPr>
      <w:r>
        <w:rPr>
          <w:sz w:val="22"/>
          <w:szCs w:val="22"/>
        </w:rPr>
        <w:t xml:space="preserve">centri di trasferimento tecnologico su tematiche Industria 4.0 come definiti dal D.M. 22 maggio 2017 (MiSE) – </w:t>
      </w:r>
      <w:r>
        <w:rPr>
          <w:i/>
          <w:iCs/>
          <w:sz w:val="22"/>
          <w:szCs w:val="22"/>
        </w:rPr>
        <w:t xml:space="preserve">(http://www.unioncamere.gov.it/P42A3764C3669S3692/elenco-dei-centri-di-trasferimento-tecnologico-industria-4-0-certificati.htm); </w:t>
      </w:r>
    </w:p>
    <w:p w:rsidR="0012583B" w:rsidRDefault="0012583B" w:rsidP="0012583B">
      <w:pPr>
        <w:pStyle w:val="Default"/>
        <w:spacing w:after="49"/>
        <w:ind w:left="720"/>
        <w:jc w:val="both"/>
        <w:rPr>
          <w:sz w:val="22"/>
          <w:szCs w:val="22"/>
        </w:rPr>
      </w:pPr>
      <w:r>
        <w:rPr>
          <w:sz w:val="22"/>
          <w:szCs w:val="22"/>
        </w:rPr>
        <w:t xml:space="preserve"> start-up innovative di cui all’art. 25 del D.L. 18 ottobre 2012, n. 179 convertito, con modificazioni, dalla L. 17 dicembre 2012, n. 221 e s.m.i. e PMI innovative di cui all’art. 4 del D.L. 24 gennaio 2015 n. 3, convertito, con modificazioni, dalla L. 24 marzo 2015, n. 33; </w:t>
      </w:r>
    </w:p>
    <w:p w:rsidR="0012583B" w:rsidRDefault="0012583B" w:rsidP="0012583B">
      <w:pPr>
        <w:pStyle w:val="Default"/>
        <w:numPr>
          <w:ilvl w:val="0"/>
          <w:numId w:val="11"/>
        </w:numPr>
        <w:jc w:val="both"/>
        <w:rPr>
          <w:sz w:val="22"/>
          <w:szCs w:val="22"/>
        </w:rPr>
      </w:pPr>
      <w:r>
        <w:rPr>
          <w:b/>
          <w:bCs/>
          <w:sz w:val="22"/>
          <w:szCs w:val="22"/>
        </w:rPr>
        <w:t xml:space="preserve">ulteriori fornitori </w:t>
      </w:r>
      <w:r>
        <w:rPr>
          <w:sz w:val="22"/>
          <w:szCs w:val="22"/>
        </w:rPr>
        <w:t xml:space="preserve">a condizione che essi abbiano realizzato nell’ultimo triennio almeno tre attività per servizi di consulenza/formazione alle imprese nell’ambito delle tecnologie di cui all’art. 2, comma 3, Elenco 1 della parte generale del presente Bando. Il fornitore è tenuto, al riguardo, a produrre una autocertificazione attestante tale condizione da consegnare all’impresa beneficiaria prima della domanda di voucher. </w:t>
      </w:r>
    </w:p>
    <w:p w:rsidR="0012583B" w:rsidRDefault="0012583B" w:rsidP="0012583B">
      <w:pPr>
        <w:pStyle w:val="Default"/>
        <w:jc w:val="both"/>
        <w:rPr>
          <w:sz w:val="22"/>
          <w:szCs w:val="22"/>
        </w:rPr>
      </w:pPr>
    </w:p>
    <w:p w:rsidR="0012583B" w:rsidRDefault="0012583B" w:rsidP="0012583B">
      <w:pPr>
        <w:pStyle w:val="Default"/>
        <w:jc w:val="both"/>
        <w:rPr>
          <w:sz w:val="22"/>
          <w:szCs w:val="22"/>
        </w:rPr>
      </w:pPr>
      <w:r>
        <w:rPr>
          <w:sz w:val="22"/>
          <w:szCs w:val="22"/>
        </w:rPr>
        <w:t xml:space="preserve">Relativamente ai soli servizi di formazione, l’impresa potrà avvalersi anche di agenzie formative accreditate dalle Regioni, Università e Scuole di Alta formazione riconosciute dal MIUR, Istituti Tecnici Superiori. </w:t>
      </w:r>
    </w:p>
    <w:p w:rsidR="0012583B" w:rsidRDefault="0012583B" w:rsidP="0012583B">
      <w:pPr>
        <w:pStyle w:val="Default"/>
        <w:jc w:val="both"/>
        <w:rPr>
          <w:sz w:val="22"/>
          <w:szCs w:val="22"/>
        </w:rPr>
      </w:pPr>
      <w:r>
        <w:rPr>
          <w:sz w:val="22"/>
          <w:szCs w:val="22"/>
        </w:rPr>
        <w:t xml:space="preserve">Non sono richiesti requisiti specifici per i soli fornitori di beni e servizi strumentali di cui all’art. 7 comma 1, </w:t>
      </w:r>
      <w:r>
        <w:rPr>
          <w:i/>
          <w:iCs/>
          <w:sz w:val="22"/>
          <w:szCs w:val="22"/>
        </w:rPr>
        <w:t>lett</w:t>
      </w:r>
      <w:r>
        <w:rPr>
          <w:sz w:val="22"/>
          <w:szCs w:val="22"/>
        </w:rPr>
        <w:t xml:space="preserve">. </w:t>
      </w:r>
      <w:r>
        <w:rPr>
          <w:i/>
          <w:iCs/>
          <w:sz w:val="22"/>
          <w:szCs w:val="22"/>
        </w:rPr>
        <w:t>b</w:t>
      </w:r>
      <w:r>
        <w:rPr>
          <w:sz w:val="22"/>
          <w:szCs w:val="22"/>
        </w:rPr>
        <w:t xml:space="preserve">). </w:t>
      </w:r>
    </w:p>
    <w:p w:rsidR="0012583B" w:rsidRDefault="0012583B" w:rsidP="0012583B">
      <w:pPr>
        <w:pStyle w:val="Default"/>
        <w:jc w:val="both"/>
      </w:pPr>
      <w:r>
        <w:rPr>
          <w:sz w:val="22"/>
          <w:szCs w:val="22"/>
        </w:rPr>
        <w:t>Per la tipologia di spese ammissibili e le altre disposizioni si rinvia alla parte generale del presente Bando.</w:t>
      </w:r>
    </w:p>
    <w:p w:rsidR="0012583B" w:rsidRDefault="0012583B" w:rsidP="0012583B">
      <w:pPr>
        <w:pStyle w:val="Default"/>
        <w:jc w:val="both"/>
      </w:pPr>
    </w:p>
    <w:p w:rsidR="0012583B" w:rsidRDefault="0012583B" w:rsidP="0012583B">
      <w:pPr>
        <w:pStyle w:val="Default"/>
        <w:jc w:val="both"/>
      </w:pPr>
    </w:p>
    <w:p w:rsidR="0012583B" w:rsidRPr="000B539C" w:rsidRDefault="0012583B" w:rsidP="0012583B">
      <w:pPr>
        <w:pStyle w:val="Default"/>
        <w:jc w:val="both"/>
        <w:rPr>
          <w:b/>
        </w:rPr>
      </w:pPr>
      <w:r w:rsidRPr="000B539C">
        <w:rPr>
          <w:b/>
        </w:rPr>
        <w:t>ENTITA’ DEL CONTRIBUTO</w:t>
      </w:r>
    </w:p>
    <w:p w:rsidR="0012583B" w:rsidRDefault="0012583B" w:rsidP="0012583B">
      <w:pPr>
        <w:pStyle w:val="Default"/>
        <w:jc w:val="both"/>
      </w:pPr>
    </w:p>
    <w:tbl>
      <w:tblPr>
        <w:tblStyle w:val="Grigliatabella"/>
        <w:tblW w:w="0" w:type="auto"/>
        <w:tblLook w:val="04A0"/>
      </w:tblPr>
      <w:tblGrid>
        <w:gridCol w:w="4889"/>
        <w:gridCol w:w="4889"/>
      </w:tblGrid>
      <w:tr w:rsidR="0012583B" w:rsidTr="008E3CDE">
        <w:tc>
          <w:tcPr>
            <w:tcW w:w="4889" w:type="dxa"/>
          </w:tcPr>
          <w:p w:rsidR="0012583B" w:rsidRDefault="0012583B" w:rsidP="008E3CDE">
            <w:pPr>
              <w:pStyle w:val="Default"/>
              <w:jc w:val="center"/>
            </w:pPr>
            <w:r>
              <w:t>IMPORTO MINIMO</w:t>
            </w:r>
          </w:p>
        </w:tc>
        <w:tc>
          <w:tcPr>
            <w:tcW w:w="4889" w:type="dxa"/>
          </w:tcPr>
          <w:p w:rsidR="0012583B" w:rsidRDefault="0012583B" w:rsidP="008E3CDE">
            <w:pPr>
              <w:pStyle w:val="Default"/>
              <w:jc w:val="center"/>
            </w:pPr>
            <w:r>
              <w:t>IMPORTO MASSIMO</w:t>
            </w:r>
          </w:p>
        </w:tc>
      </w:tr>
      <w:tr w:rsidR="0012583B" w:rsidTr="008E3CDE">
        <w:tc>
          <w:tcPr>
            <w:tcW w:w="4889" w:type="dxa"/>
          </w:tcPr>
          <w:p w:rsidR="0012583B" w:rsidRPr="0090398C" w:rsidRDefault="0012583B" w:rsidP="008E3CDE">
            <w:pPr>
              <w:pStyle w:val="Default"/>
              <w:jc w:val="center"/>
              <w:rPr>
                <w:b/>
              </w:rPr>
            </w:pPr>
            <w:r w:rsidRPr="0090398C">
              <w:rPr>
                <w:b/>
              </w:rPr>
              <w:t>€ 5.000,00</w:t>
            </w:r>
          </w:p>
          <w:p w:rsidR="0012583B" w:rsidRDefault="0012583B" w:rsidP="008E3CDE">
            <w:pPr>
              <w:pStyle w:val="Default"/>
              <w:jc w:val="center"/>
            </w:pPr>
            <w:r>
              <w:rPr>
                <w:i/>
                <w:iCs/>
                <w:sz w:val="22"/>
                <w:szCs w:val="22"/>
              </w:rPr>
              <w:t>valore minimo dell’investimento per ciascuna impresa partecipante al progetto</w:t>
            </w:r>
          </w:p>
        </w:tc>
        <w:tc>
          <w:tcPr>
            <w:tcW w:w="4889" w:type="dxa"/>
          </w:tcPr>
          <w:p w:rsidR="0012583B" w:rsidRPr="0090398C" w:rsidRDefault="0012583B" w:rsidP="008E3CDE">
            <w:pPr>
              <w:pStyle w:val="Default"/>
              <w:jc w:val="center"/>
              <w:rPr>
                <w:b/>
              </w:rPr>
            </w:pPr>
            <w:r w:rsidRPr="0090398C">
              <w:rPr>
                <w:b/>
              </w:rPr>
              <w:t>€ 10.000,00</w:t>
            </w:r>
          </w:p>
          <w:p w:rsidR="0012583B" w:rsidRDefault="0012583B" w:rsidP="008E3CDE">
            <w:pPr>
              <w:pStyle w:val="Default"/>
              <w:jc w:val="center"/>
            </w:pPr>
            <w:r>
              <w:rPr>
                <w:i/>
                <w:iCs/>
                <w:sz w:val="22"/>
                <w:szCs w:val="22"/>
              </w:rPr>
              <w:t>non comprensivo dell’eventuale premialità di cui all’art. 3, comma 5 “Rating di legalità” della parte generale del presente Bando, concedibile nel limite del 100% delle spese ammissibili e nel rispetto dei pertinenti massimali de minimis.</w:t>
            </w:r>
          </w:p>
        </w:tc>
      </w:tr>
    </w:tbl>
    <w:p w:rsidR="0012583B" w:rsidRDefault="0012583B" w:rsidP="0012583B">
      <w:pPr>
        <w:pStyle w:val="Default"/>
        <w:jc w:val="both"/>
      </w:pPr>
    </w:p>
    <w:p w:rsidR="0012583B" w:rsidRDefault="0012583B" w:rsidP="0012583B"/>
    <w:p w:rsidR="0012583B" w:rsidRPr="0012583B" w:rsidRDefault="0012583B" w:rsidP="0012583B"/>
    <w:sectPr w:rsidR="0012583B" w:rsidRPr="0012583B" w:rsidSect="00B6117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028B5"/>
    <w:multiLevelType w:val="hybridMultilevel"/>
    <w:tmpl w:val="AB545D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2932219"/>
    <w:multiLevelType w:val="hybridMultilevel"/>
    <w:tmpl w:val="90EE7F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58452B8"/>
    <w:multiLevelType w:val="hybridMultilevel"/>
    <w:tmpl w:val="8746EE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9F10B68"/>
    <w:multiLevelType w:val="hybridMultilevel"/>
    <w:tmpl w:val="21CACC86"/>
    <w:lvl w:ilvl="0" w:tplc="41F2676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A213B49"/>
    <w:multiLevelType w:val="hybridMultilevel"/>
    <w:tmpl w:val="3C503F9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44EF5962"/>
    <w:multiLevelType w:val="hybridMultilevel"/>
    <w:tmpl w:val="96362F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B286A10"/>
    <w:multiLevelType w:val="hybridMultilevel"/>
    <w:tmpl w:val="464AD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F4E0E32"/>
    <w:multiLevelType w:val="hybridMultilevel"/>
    <w:tmpl w:val="8EF4974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62A15A0"/>
    <w:multiLevelType w:val="hybridMultilevel"/>
    <w:tmpl w:val="B5D417D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C2F0626"/>
    <w:multiLevelType w:val="hybridMultilevel"/>
    <w:tmpl w:val="22BCFA3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6F67E2C"/>
    <w:multiLevelType w:val="hybridMultilevel"/>
    <w:tmpl w:val="8442473A"/>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0"/>
  </w:num>
  <w:num w:numId="5">
    <w:abstractNumId w:val="9"/>
  </w:num>
  <w:num w:numId="6">
    <w:abstractNumId w:val="4"/>
  </w:num>
  <w:num w:numId="7">
    <w:abstractNumId w:val="2"/>
  </w:num>
  <w:num w:numId="8">
    <w:abstractNumId w:val="3"/>
  </w:num>
  <w:num w:numId="9">
    <w:abstractNumId w:val="1"/>
  </w:num>
  <w:num w:numId="10">
    <w:abstractNumId w:val="7"/>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283"/>
  <w:characterSpacingControl w:val="doNotCompress"/>
  <w:compat/>
  <w:rsids>
    <w:rsidRoot w:val="00606481"/>
    <w:rsid w:val="000B539C"/>
    <w:rsid w:val="0012583B"/>
    <w:rsid w:val="00314FC1"/>
    <w:rsid w:val="005051BA"/>
    <w:rsid w:val="00527E14"/>
    <w:rsid w:val="005532BC"/>
    <w:rsid w:val="00606481"/>
    <w:rsid w:val="00665C06"/>
    <w:rsid w:val="008775E8"/>
    <w:rsid w:val="0090398C"/>
    <w:rsid w:val="009260BF"/>
    <w:rsid w:val="00A679E2"/>
    <w:rsid w:val="00A7574D"/>
    <w:rsid w:val="00B6117C"/>
    <w:rsid w:val="00E1668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117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06481"/>
    <w:pPr>
      <w:autoSpaceDE w:val="0"/>
      <w:autoSpaceDN w:val="0"/>
      <w:adjustRightInd w:val="0"/>
      <w:spacing w:after="0" w:line="240" w:lineRule="auto"/>
    </w:pPr>
    <w:rPr>
      <w:rFonts w:ascii="Calibri" w:hAnsi="Calibri" w:cs="Calibri"/>
      <w:color w:val="000000"/>
      <w:sz w:val="24"/>
      <w:szCs w:val="24"/>
    </w:rPr>
  </w:style>
  <w:style w:type="table" w:styleId="Grigliatabella">
    <w:name w:val="Table Grid"/>
    <w:basedOn w:val="Tabellanormale"/>
    <w:uiPriority w:val="59"/>
    <w:rsid w:val="009039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C49AA-F395-42C4-8A68-255799C4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1496</Words>
  <Characters>8532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2019-04-19T09:14:00Z</cp:lastPrinted>
  <dcterms:created xsi:type="dcterms:W3CDTF">2019-04-19T15:26:00Z</dcterms:created>
  <dcterms:modified xsi:type="dcterms:W3CDTF">2019-04-19T15:26:00Z</dcterms:modified>
</cp:coreProperties>
</file>